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2" w:beforeLines="20" w:after="62" w:afterLines="20" w:line="240" w:lineRule="auto"/>
        <w:jc w:val="center"/>
        <w:rPr>
          <w:sz w:val="28"/>
          <w:highlight w:val="none"/>
        </w:rPr>
      </w:pPr>
      <w:r>
        <w:rPr>
          <w:rFonts w:eastAsia="Times New Roman"/>
          <w:sz w:val="28"/>
          <w:highlight w:val="none"/>
        </w:rPr>
        <w:t>Seminar for Sri Lanka Medical Personnel</w:t>
      </w:r>
    </w:p>
    <w:p>
      <w:pPr>
        <w:spacing w:before="62" w:beforeLines="20" w:after="62" w:afterLines="20" w:line="240" w:lineRule="auto"/>
        <w:jc w:val="center"/>
        <w:rPr>
          <w:sz w:val="28"/>
          <w:highlight w:val="none"/>
        </w:rPr>
      </w:pPr>
      <w:r>
        <w:rPr>
          <w:rFonts w:eastAsia="Times New Roman"/>
          <w:sz w:val="28"/>
          <w:highlight w:val="none"/>
        </w:rPr>
        <w:t>Project Profile</w:t>
      </w:r>
    </w:p>
    <w:tbl>
      <w:tblPr>
        <w:tblStyle w:val="9"/>
        <w:tblW w:w="9756"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646"/>
        <w:gridCol w:w="2158"/>
        <w:gridCol w:w="2557"/>
        <w:gridCol w:w="1559"/>
        <w:gridCol w:w="1836"/>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Align w:val="center"/>
          </w:tcPr>
          <w:p>
            <w:pPr>
              <w:spacing w:before="62" w:beforeLines="20" w:after="62" w:afterLines="20" w:line="240" w:lineRule="auto"/>
              <w:jc w:val="center"/>
              <w:rPr>
                <w:szCs w:val="21"/>
                <w:highlight w:val="none"/>
              </w:rPr>
            </w:pPr>
            <w:r>
              <w:rPr>
                <w:rFonts w:eastAsia="Times New Roman"/>
                <w:szCs w:val="21"/>
                <w:highlight w:val="none"/>
              </w:rPr>
              <w:t>Name</w:t>
            </w:r>
          </w:p>
        </w:tc>
        <w:tc>
          <w:tcPr>
            <w:tcW w:w="8110" w:type="dxa"/>
            <w:gridSpan w:val="4"/>
            <w:vAlign w:val="center"/>
          </w:tcPr>
          <w:p>
            <w:pPr>
              <w:spacing w:before="62" w:beforeLines="20" w:after="62" w:afterLines="20" w:line="240" w:lineRule="auto"/>
              <w:jc w:val="center"/>
              <w:rPr>
                <w:szCs w:val="21"/>
                <w:highlight w:val="none"/>
              </w:rPr>
            </w:pPr>
            <w:r>
              <w:rPr>
                <w:rFonts w:eastAsia="Times New Roman"/>
                <w:szCs w:val="21"/>
                <w:highlight w:val="none"/>
              </w:rPr>
              <w:t>Seminar for Sri Lanka Medical Personnel</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PrEx>
        <w:trPr>
          <w:jc w:val="center"/>
        </w:trPr>
        <w:tc>
          <w:tcPr>
            <w:tcW w:w="1646" w:type="dxa"/>
            <w:vAlign w:val="center"/>
          </w:tcPr>
          <w:p>
            <w:pPr>
              <w:spacing w:before="62" w:beforeLines="20" w:after="62" w:afterLines="20" w:line="240" w:lineRule="auto"/>
              <w:jc w:val="center"/>
              <w:rPr>
                <w:szCs w:val="21"/>
                <w:highlight w:val="none"/>
              </w:rPr>
            </w:pPr>
            <w:r>
              <w:rPr>
                <w:rFonts w:eastAsia="Times New Roman"/>
                <w:szCs w:val="21"/>
                <w:highlight w:val="none"/>
              </w:rPr>
              <w:t>Organizer</w:t>
            </w:r>
          </w:p>
        </w:tc>
        <w:tc>
          <w:tcPr>
            <w:tcW w:w="8110" w:type="dxa"/>
            <w:gridSpan w:val="4"/>
            <w:vAlign w:val="center"/>
          </w:tcPr>
          <w:p>
            <w:pPr>
              <w:spacing w:before="62" w:beforeLines="20" w:after="62" w:afterLines="20" w:line="240" w:lineRule="auto"/>
              <w:jc w:val="center"/>
              <w:rPr>
                <w:szCs w:val="21"/>
                <w:highlight w:val="none"/>
              </w:rPr>
            </w:pPr>
            <w:r>
              <w:rPr>
                <w:rFonts w:eastAsia="Times New Roman"/>
                <w:szCs w:val="21"/>
                <w:highlight w:val="none"/>
              </w:rPr>
              <w:t>Academy for International Business Officials (AIBO), Ministry of Commerce, P. R. China</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Align w:val="center"/>
          </w:tcPr>
          <w:p>
            <w:pPr>
              <w:spacing w:before="62" w:beforeLines="20" w:after="62" w:afterLines="20" w:line="240" w:lineRule="auto"/>
              <w:jc w:val="center"/>
              <w:rPr>
                <w:szCs w:val="21"/>
                <w:highlight w:val="none"/>
              </w:rPr>
            </w:pPr>
            <w:r>
              <w:rPr>
                <w:rFonts w:eastAsia="Times New Roman"/>
                <w:szCs w:val="21"/>
                <w:highlight w:val="none"/>
              </w:rPr>
              <w:t>Time</w:t>
            </w:r>
          </w:p>
        </w:tc>
        <w:tc>
          <w:tcPr>
            <w:tcW w:w="4715" w:type="dxa"/>
            <w:gridSpan w:val="2"/>
            <w:vAlign w:val="center"/>
          </w:tcPr>
          <w:p>
            <w:pPr>
              <w:spacing w:before="62" w:beforeLines="20" w:after="62" w:afterLines="20" w:line="240" w:lineRule="auto"/>
              <w:jc w:val="center"/>
              <w:rPr>
                <w:szCs w:val="21"/>
                <w:highlight w:val="none"/>
              </w:rPr>
            </w:pPr>
            <w:r>
              <w:rPr>
                <w:rFonts w:eastAsia="Times New Roman"/>
                <w:szCs w:val="21"/>
                <w:highlight w:val="none"/>
              </w:rPr>
              <w:t>November 17-30, 2026 (14 days)</w:t>
            </w:r>
          </w:p>
        </w:tc>
        <w:tc>
          <w:tcPr>
            <w:tcW w:w="1559" w:type="dxa"/>
            <w:vAlign w:val="center"/>
          </w:tcPr>
          <w:p>
            <w:pPr>
              <w:spacing w:before="62" w:beforeLines="20" w:after="62" w:afterLines="20" w:line="240" w:lineRule="auto"/>
              <w:jc w:val="center"/>
              <w:rPr>
                <w:szCs w:val="21"/>
                <w:highlight w:val="none"/>
              </w:rPr>
            </w:pPr>
            <w:r>
              <w:rPr>
                <w:rFonts w:eastAsia="Times New Roman"/>
                <w:szCs w:val="21"/>
                <w:highlight w:val="none"/>
              </w:rPr>
              <w:t>Language</w:t>
            </w:r>
          </w:p>
        </w:tc>
        <w:tc>
          <w:tcPr>
            <w:tcW w:w="1836" w:type="dxa"/>
            <w:vAlign w:val="center"/>
          </w:tcPr>
          <w:p>
            <w:pPr>
              <w:spacing w:before="62" w:beforeLines="20" w:after="62" w:afterLines="20" w:line="240" w:lineRule="auto"/>
              <w:jc w:val="center"/>
              <w:rPr>
                <w:szCs w:val="21"/>
                <w:highlight w:val="none"/>
              </w:rPr>
            </w:pPr>
            <w:r>
              <w:rPr>
                <w:rFonts w:eastAsia="Times New Roman"/>
                <w:szCs w:val="21"/>
                <w:highlight w:val="none"/>
              </w:rPr>
              <w:t>English</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Align w:val="center"/>
          </w:tcPr>
          <w:p>
            <w:pPr>
              <w:spacing w:before="62" w:beforeLines="20" w:after="62" w:afterLines="20" w:line="240" w:lineRule="auto"/>
              <w:jc w:val="center"/>
              <w:rPr>
                <w:szCs w:val="21"/>
                <w:highlight w:val="none"/>
              </w:rPr>
            </w:pPr>
            <w:r>
              <w:rPr>
                <w:rFonts w:eastAsia="Times New Roman"/>
                <w:szCs w:val="21"/>
                <w:highlight w:val="none"/>
              </w:rPr>
              <w:t>Invited Participants</w:t>
            </w:r>
          </w:p>
        </w:tc>
        <w:tc>
          <w:tcPr>
            <w:tcW w:w="8110" w:type="dxa"/>
            <w:gridSpan w:val="4"/>
            <w:vAlign w:val="center"/>
          </w:tcPr>
          <w:p>
            <w:pPr>
              <w:spacing w:before="62" w:beforeLines="20" w:after="62" w:afterLines="20" w:line="240" w:lineRule="auto"/>
              <w:jc w:val="center"/>
              <w:rPr>
                <w:szCs w:val="21"/>
                <w:highlight w:val="none"/>
              </w:rPr>
            </w:pPr>
            <w:r>
              <w:rPr>
                <w:rFonts w:eastAsia="Times New Roman"/>
                <w:szCs w:val="21"/>
                <w:highlight w:val="none"/>
              </w:rPr>
              <w:t>Officials from relevant departments of Sri Lanka (for officials at the Director-General and Director level)</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Align w:val="center"/>
          </w:tcPr>
          <w:p>
            <w:pPr>
              <w:spacing w:before="62" w:beforeLines="20" w:after="62" w:afterLines="20" w:line="240" w:lineRule="auto"/>
              <w:jc w:val="center"/>
              <w:rPr>
                <w:szCs w:val="21"/>
                <w:highlight w:val="none"/>
              </w:rPr>
            </w:pPr>
            <w:r>
              <w:rPr>
                <w:rFonts w:eastAsia="Times New Roman"/>
                <w:szCs w:val="21"/>
                <w:highlight w:val="none"/>
              </w:rPr>
              <w:t>Recommended Number of Participants</w:t>
            </w:r>
          </w:p>
        </w:tc>
        <w:tc>
          <w:tcPr>
            <w:tcW w:w="8110" w:type="dxa"/>
            <w:gridSpan w:val="4"/>
            <w:vAlign w:val="center"/>
          </w:tcPr>
          <w:p>
            <w:pPr>
              <w:spacing w:before="62" w:beforeLines="20" w:after="62" w:afterLines="20" w:line="240" w:lineRule="auto"/>
              <w:jc w:val="center"/>
              <w:rPr>
                <w:szCs w:val="21"/>
                <w:highlight w:val="none"/>
              </w:rPr>
            </w:pPr>
            <w:r>
              <w:rPr>
                <w:rFonts w:hint="eastAsia"/>
                <w:szCs w:val="21"/>
                <w:highlight w:val="none"/>
                <w:lang w:val="en-US" w:eastAsia="zh-CN"/>
              </w:rPr>
              <w:t>35</w:t>
            </w:r>
            <w:bookmarkStart w:id="0" w:name="_GoBack"/>
            <w:bookmarkEnd w:id="0"/>
            <w:r>
              <w:rPr>
                <w:rFonts w:eastAsia="Times New Roman"/>
                <w:szCs w:val="21"/>
                <w:highlight w:val="none"/>
              </w:rPr>
              <w:t xml:space="preserve"> persons in total</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Merge w:val="restart"/>
            <w:vAlign w:val="center"/>
          </w:tcPr>
          <w:p>
            <w:pPr>
              <w:spacing w:before="62" w:beforeLines="20" w:after="62" w:afterLines="20" w:line="240" w:lineRule="auto"/>
              <w:jc w:val="center"/>
              <w:rPr>
                <w:szCs w:val="21"/>
                <w:highlight w:val="none"/>
              </w:rPr>
            </w:pPr>
            <w:r>
              <w:rPr>
                <w:rFonts w:eastAsia="Times New Roman"/>
                <w:szCs w:val="21"/>
                <w:highlight w:val="none"/>
              </w:rPr>
              <w:t>Requirements for the Participants</w:t>
            </w:r>
          </w:p>
        </w:tc>
        <w:tc>
          <w:tcPr>
            <w:tcW w:w="2158" w:type="dxa"/>
            <w:vAlign w:val="center"/>
          </w:tcPr>
          <w:p>
            <w:pPr>
              <w:spacing w:before="62" w:beforeLines="20" w:after="62" w:afterLines="20" w:line="240" w:lineRule="auto"/>
              <w:jc w:val="center"/>
              <w:rPr>
                <w:szCs w:val="21"/>
                <w:highlight w:val="none"/>
              </w:rPr>
            </w:pPr>
            <w:r>
              <w:rPr>
                <w:rFonts w:eastAsia="Times New Roman"/>
                <w:szCs w:val="21"/>
                <w:highlight w:val="none"/>
              </w:rPr>
              <w:t>Age</w:t>
            </w:r>
          </w:p>
        </w:tc>
        <w:tc>
          <w:tcPr>
            <w:tcW w:w="5952" w:type="dxa"/>
            <w:gridSpan w:val="3"/>
            <w:vAlign w:val="center"/>
          </w:tcPr>
          <w:p>
            <w:pPr>
              <w:spacing w:before="62" w:beforeLines="20" w:after="62" w:afterLines="20" w:line="240" w:lineRule="auto"/>
              <w:rPr>
                <w:szCs w:val="21"/>
                <w:highlight w:val="none"/>
              </w:rPr>
            </w:pPr>
            <w:r>
              <w:rPr>
                <w:rFonts w:eastAsia="Times New Roman"/>
                <w:szCs w:val="21"/>
                <w:highlight w:val="none"/>
              </w:rPr>
              <w:t>Under 50 for officials at the Director-General level; under 45 for officials at the Director level</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Merge w:val="continue"/>
            <w:vAlign w:val="center"/>
          </w:tcPr>
          <w:p>
            <w:pPr>
              <w:spacing w:before="62" w:beforeLines="20" w:after="62" w:afterLines="20" w:line="240" w:lineRule="auto"/>
              <w:jc w:val="center"/>
              <w:rPr>
                <w:szCs w:val="21"/>
                <w:highlight w:val="none"/>
              </w:rPr>
            </w:pPr>
          </w:p>
        </w:tc>
        <w:tc>
          <w:tcPr>
            <w:tcW w:w="2158" w:type="dxa"/>
            <w:vAlign w:val="center"/>
          </w:tcPr>
          <w:p>
            <w:pPr>
              <w:spacing w:before="62" w:beforeLines="20" w:after="62" w:afterLines="20" w:line="240" w:lineRule="auto"/>
              <w:jc w:val="center"/>
              <w:rPr>
                <w:szCs w:val="21"/>
                <w:highlight w:val="none"/>
              </w:rPr>
            </w:pPr>
            <w:r>
              <w:rPr>
                <w:rFonts w:eastAsia="Times New Roman"/>
                <w:szCs w:val="21"/>
                <w:highlight w:val="none"/>
              </w:rPr>
              <w:t>Health</w:t>
            </w:r>
          </w:p>
        </w:tc>
        <w:tc>
          <w:tcPr>
            <w:tcW w:w="5952" w:type="dxa"/>
            <w:gridSpan w:val="3"/>
            <w:vAlign w:val="center"/>
          </w:tcPr>
          <w:p>
            <w:pPr>
              <w:spacing w:before="62" w:beforeLines="20" w:after="62" w:afterLines="20" w:line="240" w:lineRule="auto"/>
              <w:rPr>
                <w:szCs w:val="21"/>
                <w:highlight w:val="none"/>
              </w:rPr>
            </w:pPr>
            <w:r>
              <w:rPr>
                <w:rFonts w:eastAsia="Times New Roman"/>
                <w:szCs w:val="21"/>
                <w:highlight w:val="none"/>
              </w:rPr>
              <w:t>Participants should be in good health, and provide a health certificate or medical examination form issued by a local public hospital. Participants should be free of diseases prohibited by Chinese laws and regulations to enter the country, free of other serious chronic diseases such as severe hypertension, cardiovascular and cerebrovascular diseases, and diabetes, mental diseases or infectious diseases that may pose a significant public health risk, not in the period of recovering from major surgery or acute illness, not severely physically disabled nor pregnant.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Merge w:val="continue"/>
            <w:vAlign w:val="center"/>
          </w:tcPr>
          <w:p>
            <w:pPr>
              <w:spacing w:before="62" w:beforeLines="20" w:after="62" w:afterLines="20" w:line="240" w:lineRule="auto"/>
              <w:jc w:val="center"/>
              <w:rPr>
                <w:szCs w:val="21"/>
                <w:highlight w:val="none"/>
              </w:rPr>
            </w:pPr>
          </w:p>
        </w:tc>
        <w:tc>
          <w:tcPr>
            <w:tcW w:w="2158" w:type="dxa"/>
            <w:vAlign w:val="center"/>
          </w:tcPr>
          <w:p>
            <w:pPr>
              <w:spacing w:before="62" w:beforeLines="20" w:after="62" w:afterLines="20" w:line="240" w:lineRule="auto"/>
              <w:jc w:val="center"/>
              <w:rPr>
                <w:szCs w:val="21"/>
                <w:highlight w:val="none"/>
              </w:rPr>
            </w:pPr>
            <w:r>
              <w:rPr>
                <w:rFonts w:eastAsia="Times New Roman"/>
                <w:szCs w:val="21"/>
                <w:highlight w:val="none"/>
              </w:rPr>
              <w:t>Language</w:t>
            </w:r>
          </w:p>
        </w:tc>
        <w:tc>
          <w:tcPr>
            <w:tcW w:w="5952" w:type="dxa"/>
            <w:gridSpan w:val="3"/>
            <w:vAlign w:val="center"/>
          </w:tcPr>
          <w:p>
            <w:pPr>
              <w:spacing w:before="62" w:beforeLines="20" w:after="62" w:afterLines="20" w:line="240" w:lineRule="auto"/>
              <w:rPr>
                <w:szCs w:val="21"/>
                <w:highlight w:val="none"/>
              </w:rPr>
            </w:pPr>
            <w:r>
              <w:rPr>
                <w:rFonts w:eastAsia="Times New Roman"/>
                <w:szCs w:val="21"/>
                <w:highlight w:val="none"/>
              </w:rPr>
              <w:t>Participants should be capable of listening, speaking, reading and writing in English that can meet the requirements of the class.</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Merge w:val="continue"/>
            <w:vAlign w:val="center"/>
          </w:tcPr>
          <w:p>
            <w:pPr>
              <w:spacing w:before="62" w:beforeLines="20" w:after="62" w:afterLines="20" w:line="240" w:lineRule="auto"/>
              <w:jc w:val="center"/>
              <w:rPr>
                <w:szCs w:val="21"/>
                <w:highlight w:val="none"/>
              </w:rPr>
            </w:pPr>
          </w:p>
        </w:tc>
        <w:tc>
          <w:tcPr>
            <w:tcW w:w="2158" w:type="dxa"/>
            <w:vAlign w:val="center"/>
          </w:tcPr>
          <w:p>
            <w:pPr>
              <w:spacing w:before="62" w:beforeLines="20" w:after="62" w:afterLines="20" w:line="240" w:lineRule="auto"/>
              <w:jc w:val="center"/>
              <w:rPr>
                <w:szCs w:val="21"/>
                <w:highlight w:val="none"/>
              </w:rPr>
            </w:pPr>
            <w:r>
              <w:rPr>
                <w:rFonts w:eastAsia="Times New Roman"/>
                <w:szCs w:val="21"/>
                <w:highlight w:val="none"/>
              </w:rPr>
              <w:t>Others</w:t>
            </w:r>
          </w:p>
        </w:tc>
        <w:tc>
          <w:tcPr>
            <w:tcW w:w="5952" w:type="dxa"/>
            <w:gridSpan w:val="3"/>
            <w:vAlign w:val="center"/>
          </w:tcPr>
          <w:p>
            <w:pPr>
              <w:spacing w:before="62" w:beforeLines="20" w:after="62" w:afterLines="20" w:line="240" w:lineRule="auto"/>
              <w:rPr>
                <w:szCs w:val="21"/>
                <w:highlight w:val="none"/>
              </w:rPr>
            </w:pPr>
            <w:r>
              <w:rPr>
                <w:rFonts w:eastAsia="Times New Roman"/>
                <w:szCs w:val="21"/>
                <w:highlight w:val="none"/>
              </w:rPr>
              <w:t>Family members or friends shall not follow.</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Align w:val="center"/>
          </w:tcPr>
          <w:p>
            <w:pPr>
              <w:spacing w:before="62" w:beforeLines="20" w:after="62" w:afterLines="20" w:line="240" w:lineRule="auto"/>
              <w:jc w:val="center"/>
              <w:rPr>
                <w:szCs w:val="21"/>
                <w:highlight w:val="none"/>
              </w:rPr>
            </w:pPr>
            <w:r>
              <w:rPr>
                <w:rFonts w:eastAsia="Times New Roman"/>
                <w:szCs w:val="21"/>
                <w:highlight w:val="none"/>
              </w:rPr>
              <w:t>Host City</w:t>
            </w:r>
          </w:p>
        </w:tc>
        <w:tc>
          <w:tcPr>
            <w:tcW w:w="2158" w:type="dxa"/>
            <w:vAlign w:val="center"/>
          </w:tcPr>
          <w:p>
            <w:pPr>
              <w:spacing w:before="62" w:beforeLines="20" w:after="62" w:afterLines="20" w:line="240" w:lineRule="auto"/>
              <w:jc w:val="center"/>
              <w:rPr>
                <w:szCs w:val="21"/>
                <w:highlight w:val="none"/>
              </w:rPr>
            </w:pPr>
            <w:r>
              <w:rPr>
                <w:rFonts w:eastAsia="Times New Roman"/>
                <w:szCs w:val="21"/>
                <w:highlight w:val="none"/>
              </w:rPr>
              <w:t>Beijing</w:t>
            </w:r>
          </w:p>
        </w:tc>
        <w:tc>
          <w:tcPr>
            <w:tcW w:w="2557" w:type="dxa"/>
            <w:vAlign w:val="center"/>
          </w:tcPr>
          <w:p>
            <w:pPr>
              <w:spacing w:before="62" w:beforeLines="20" w:after="62" w:afterLines="20" w:line="240" w:lineRule="auto"/>
              <w:jc w:val="center"/>
              <w:rPr>
                <w:szCs w:val="21"/>
                <w:highlight w:val="none"/>
              </w:rPr>
            </w:pPr>
            <w:r>
              <w:rPr>
                <w:rFonts w:eastAsia="Times New Roman"/>
                <w:szCs w:val="21"/>
                <w:highlight w:val="none"/>
              </w:rPr>
              <w:t>Local Temperature</w:t>
            </w:r>
          </w:p>
        </w:tc>
        <w:tc>
          <w:tcPr>
            <w:tcW w:w="3395" w:type="dxa"/>
            <w:gridSpan w:val="2"/>
            <w:vAlign w:val="center"/>
          </w:tcPr>
          <w:p>
            <w:pPr>
              <w:spacing w:before="62" w:beforeLines="20" w:after="62" w:afterLines="20" w:line="240" w:lineRule="auto"/>
              <w:jc w:val="center"/>
              <w:rPr>
                <w:szCs w:val="21"/>
                <w:highlight w:val="none"/>
              </w:rPr>
            </w:pPr>
            <w:r>
              <w:rPr>
                <w:rFonts w:eastAsia="Times New Roman"/>
                <w:szCs w:val="21"/>
                <w:highlight w:val="none"/>
              </w:rPr>
              <w:t>Average temperature in Beijing in November: 2°C–13°C</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Align w:val="center"/>
          </w:tcPr>
          <w:p>
            <w:pPr>
              <w:spacing w:before="62" w:beforeLines="20" w:after="62" w:afterLines="20" w:line="240" w:lineRule="auto"/>
              <w:jc w:val="center"/>
              <w:rPr>
                <w:szCs w:val="21"/>
                <w:highlight w:val="none"/>
              </w:rPr>
            </w:pPr>
            <w:r>
              <w:rPr>
                <w:rFonts w:eastAsia="Times New Roman"/>
                <w:szCs w:val="21"/>
                <w:highlight w:val="none"/>
              </w:rPr>
              <w:t>Cities to Visit</w:t>
            </w:r>
          </w:p>
        </w:tc>
        <w:tc>
          <w:tcPr>
            <w:tcW w:w="2158" w:type="dxa"/>
            <w:vAlign w:val="center"/>
          </w:tcPr>
          <w:p>
            <w:pPr>
              <w:spacing w:before="62" w:beforeLines="20" w:after="62" w:afterLines="20" w:line="240" w:lineRule="auto"/>
              <w:jc w:val="center"/>
              <w:rPr>
                <w:szCs w:val="21"/>
                <w:highlight w:val="none"/>
              </w:rPr>
            </w:pPr>
            <w:r>
              <w:rPr>
                <w:rFonts w:eastAsia="Times New Roman"/>
                <w:szCs w:val="21"/>
                <w:highlight w:val="none"/>
              </w:rPr>
              <w:t>Pending</w:t>
            </w:r>
          </w:p>
        </w:tc>
        <w:tc>
          <w:tcPr>
            <w:tcW w:w="2557" w:type="dxa"/>
            <w:vAlign w:val="center"/>
          </w:tcPr>
          <w:p>
            <w:pPr>
              <w:spacing w:before="62" w:beforeLines="20" w:after="62" w:afterLines="20" w:line="240" w:lineRule="auto"/>
              <w:jc w:val="center"/>
              <w:rPr>
                <w:szCs w:val="21"/>
                <w:highlight w:val="none"/>
              </w:rPr>
            </w:pPr>
            <w:r>
              <w:rPr>
                <w:rFonts w:eastAsia="Times New Roman"/>
                <w:szCs w:val="21"/>
                <w:highlight w:val="none"/>
              </w:rPr>
              <w:t>Local Temperature</w:t>
            </w:r>
          </w:p>
        </w:tc>
        <w:tc>
          <w:tcPr>
            <w:tcW w:w="3395" w:type="dxa"/>
            <w:gridSpan w:val="2"/>
            <w:vAlign w:val="center"/>
          </w:tcPr>
          <w:p>
            <w:pPr>
              <w:spacing w:before="62" w:beforeLines="20" w:after="62" w:afterLines="20" w:line="240" w:lineRule="auto"/>
              <w:jc w:val="center"/>
              <w:rPr>
                <w:szCs w:val="21"/>
                <w:highlight w:val="none"/>
              </w:rPr>
            </w:pPr>
            <w:r>
              <w:rPr>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Align w:val="center"/>
          </w:tcPr>
          <w:p>
            <w:pPr>
              <w:spacing w:before="62" w:beforeLines="20" w:after="62" w:afterLines="20" w:line="240" w:lineRule="auto"/>
              <w:jc w:val="center"/>
              <w:rPr>
                <w:szCs w:val="21"/>
                <w:highlight w:val="none"/>
              </w:rPr>
            </w:pPr>
            <w:r>
              <w:rPr>
                <w:rFonts w:eastAsia="Times New Roman"/>
                <w:szCs w:val="21"/>
                <w:highlight w:val="none"/>
              </w:rPr>
              <w:t>Notes</w:t>
            </w:r>
          </w:p>
        </w:tc>
        <w:tc>
          <w:tcPr>
            <w:tcW w:w="8110" w:type="dxa"/>
            <w:gridSpan w:val="4"/>
            <w:vAlign w:val="center"/>
          </w:tcPr>
          <w:p>
            <w:pPr>
              <w:spacing w:before="62" w:beforeLines="20" w:after="62" w:afterLines="20" w:line="240" w:lineRule="auto"/>
              <w:jc w:val="center"/>
              <w:rPr>
                <w:szCs w:val="21"/>
                <w:highlight w:val="none"/>
              </w:rPr>
            </w:pPr>
            <w:r>
              <w:rPr>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Merge w:val="restart"/>
            <w:vAlign w:val="center"/>
          </w:tcPr>
          <w:p>
            <w:pPr>
              <w:spacing w:before="62" w:beforeLines="20" w:after="62" w:afterLines="20" w:line="240" w:lineRule="auto"/>
              <w:jc w:val="center"/>
              <w:rPr>
                <w:szCs w:val="21"/>
                <w:highlight w:val="none"/>
              </w:rPr>
            </w:pPr>
            <w:r>
              <w:rPr>
                <w:rFonts w:eastAsia="Times New Roman"/>
                <w:szCs w:val="21"/>
                <w:highlight w:val="none"/>
              </w:rPr>
              <w:t>Contact of the Organizer</w:t>
            </w:r>
          </w:p>
        </w:tc>
        <w:tc>
          <w:tcPr>
            <w:tcW w:w="2158" w:type="dxa"/>
            <w:vAlign w:val="center"/>
          </w:tcPr>
          <w:p>
            <w:pPr>
              <w:spacing w:before="62" w:beforeLines="20" w:after="62" w:afterLines="20" w:line="240" w:lineRule="auto"/>
              <w:jc w:val="center"/>
              <w:rPr>
                <w:szCs w:val="21"/>
                <w:highlight w:val="none"/>
              </w:rPr>
            </w:pPr>
            <w:r>
              <w:rPr>
                <w:rFonts w:eastAsia="Times New Roman"/>
                <w:szCs w:val="21"/>
                <w:highlight w:val="none"/>
              </w:rPr>
              <w:t>Contact Person(s)</w:t>
            </w:r>
          </w:p>
        </w:tc>
        <w:tc>
          <w:tcPr>
            <w:tcW w:w="5952" w:type="dxa"/>
            <w:gridSpan w:val="3"/>
            <w:vAlign w:val="center"/>
          </w:tcPr>
          <w:p>
            <w:pPr>
              <w:spacing w:before="62" w:beforeLines="20" w:after="62" w:afterLines="20" w:line="240" w:lineRule="auto"/>
              <w:jc w:val="left"/>
              <w:rPr>
                <w:szCs w:val="21"/>
                <w:highlight w:val="none"/>
              </w:rPr>
            </w:pPr>
            <w:r>
              <w:rPr>
                <w:rFonts w:eastAsia="Times New Roman"/>
                <w:szCs w:val="21"/>
                <w:highlight w:val="none"/>
              </w:rPr>
              <w:t>CHEN Chikun</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Merge w:val="continue"/>
            <w:vAlign w:val="center"/>
          </w:tcPr>
          <w:p>
            <w:pPr>
              <w:spacing w:before="62" w:beforeLines="20" w:after="62" w:afterLines="20" w:line="240" w:lineRule="auto"/>
              <w:jc w:val="center"/>
              <w:rPr>
                <w:szCs w:val="21"/>
                <w:highlight w:val="none"/>
              </w:rPr>
            </w:pPr>
          </w:p>
        </w:tc>
        <w:tc>
          <w:tcPr>
            <w:tcW w:w="2158" w:type="dxa"/>
            <w:vAlign w:val="center"/>
          </w:tcPr>
          <w:p>
            <w:pPr>
              <w:spacing w:before="62" w:beforeLines="20" w:after="62" w:afterLines="20" w:line="240" w:lineRule="auto"/>
              <w:jc w:val="center"/>
              <w:rPr>
                <w:szCs w:val="21"/>
                <w:highlight w:val="none"/>
              </w:rPr>
            </w:pPr>
            <w:r>
              <w:rPr>
                <w:rFonts w:eastAsia="Times New Roman"/>
                <w:szCs w:val="21"/>
                <w:highlight w:val="none"/>
              </w:rPr>
              <w:t>Telephone</w:t>
            </w:r>
          </w:p>
        </w:tc>
        <w:tc>
          <w:tcPr>
            <w:tcW w:w="5952" w:type="dxa"/>
            <w:gridSpan w:val="3"/>
            <w:vAlign w:val="center"/>
          </w:tcPr>
          <w:p>
            <w:pPr>
              <w:spacing w:before="62" w:beforeLines="20" w:after="62" w:afterLines="20" w:line="240" w:lineRule="auto"/>
              <w:jc w:val="left"/>
              <w:rPr>
                <w:szCs w:val="21"/>
                <w:highlight w:val="none"/>
              </w:rPr>
            </w:pPr>
            <w:r>
              <w:rPr>
                <w:szCs w:val="21"/>
                <w:highlight w:val="none"/>
              </w:rPr>
              <w:t>0086-10-69759898-</w:t>
            </w:r>
            <w:r>
              <w:rPr>
                <w:rFonts w:hint="eastAsia"/>
                <w:szCs w:val="21"/>
                <w:highlight w:val="none"/>
              </w:rPr>
              <w:t>3184</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Merge w:val="continue"/>
            <w:vAlign w:val="center"/>
          </w:tcPr>
          <w:p>
            <w:pPr>
              <w:spacing w:before="62" w:beforeLines="20" w:after="62" w:afterLines="20" w:line="240" w:lineRule="auto"/>
              <w:jc w:val="center"/>
              <w:rPr>
                <w:szCs w:val="21"/>
                <w:highlight w:val="none"/>
              </w:rPr>
            </w:pPr>
          </w:p>
        </w:tc>
        <w:tc>
          <w:tcPr>
            <w:tcW w:w="2158" w:type="dxa"/>
            <w:vAlign w:val="center"/>
          </w:tcPr>
          <w:p>
            <w:pPr>
              <w:spacing w:before="62" w:beforeLines="20" w:after="62" w:afterLines="20" w:line="240" w:lineRule="auto"/>
              <w:jc w:val="center"/>
              <w:rPr>
                <w:szCs w:val="21"/>
                <w:highlight w:val="none"/>
              </w:rPr>
            </w:pPr>
            <w:r>
              <w:rPr>
                <w:rFonts w:eastAsia="Times New Roman"/>
                <w:szCs w:val="21"/>
                <w:highlight w:val="none"/>
              </w:rPr>
              <w:t>Cell</w:t>
            </w:r>
          </w:p>
        </w:tc>
        <w:tc>
          <w:tcPr>
            <w:tcW w:w="5952" w:type="dxa"/>
            <w:gridSpan w:val="3"/>
            <w:vAlign w:val="center"/>
          </w:tcPr>
          <w:p>
            <w:pPr>
              <w:spacing w:before="62" w:beforeLines="20" w:after="62" w:afterLines="20" w:line="240" w:lineRule="auto"/>
              <w:jc w:val="left"/>
              <w:rPr>
                <w:szCs w:val="21"/>
                <w:highlight w:val="none"/>
              </w:rPr>
            </w:pPr>
            <w:r>
              <w:rPr>
                <w:szCs w:val="21"/>
                <w:highlight w:val="none"/>
              </w:rPr>
              <w:t>0086-1</w:t>
            </w:r>
            <w:r>
              <w:rPr>
                <w:rFonts w:hint="eastAsia"/>
                <w:szCs w:val="21"/>
                <w:highlight w:val="none"/>
              </w:rPr>
              <w:t>8701030503</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Merge w:val="continue"/>
            <w:vAlign w:val="center"/>
          </w:tcPr>
          <w:p>
            <w:pPr>
              <w:spacing w:before="62" w:beforeLines="20" w:after="62" w:afterLines="20" w:line="240" w:lineRule="auto"/>
              <w:jc w:val="center"/>
              <w:rPr>
                <w:szCs w:val="21"/>
                <w:highlight w:val="none"/>
              </w:rPr>
            </w:pPr>
          </w:p>
        </w:tc>
        <w:tc>
          <w:tcPr>
            <w:tcW w:w="2158" w:type="dxa"/>
            <w:vAlign w:val="center"/>
          </w:tcPr>
          <w:p>
            <w:pPr>
              <w:spacing w:before="62" w:beforeLines="20" w:after="62" w:afterLines="20" w:line="240" w:lineRule="auto"/>
              <w:jc w:val="center"/>
              <w:rPr>
                <w:szCs w:val="21"/>
                <w:highlight w:val="none"/>
              </w:rPr>
            </w:pPr>
            <w:r>
              <w:rPr>
                <w:rFonts w:eastAsia="Times New Roman"/>
                <w:szCs w:val="21"/>
                <w:highlight w:val="none"/>
              </w:rPr>
              <w:t>Fax</w:t>
            </w:r>
          </w:p>
        </w:tc>
        <w:tc>
          <w:tcPr>
            <w:tcW w:w="5952" w:type="dxa"/>
            <w:gridSpan w:val="3"/>
            <w:vAlign w:val="center"/>
          </w:tcPr>
          <w:p>
            <w:pPr>
              <w:spacing w:before="62" w:beforeLines="20" w:after="62" w:afterLines="20" w:line="240" w:lineRule="auto"/>
              <w:jc w:val="left"/>
              <w:rPr>
                <w:szCs w:val="21"/>
                <w:highlight w:val="none"/>
              </w:rPr>
            </w:pPr>
            <w:r>
              <w:rPr>
                <w:szCs w:val="21"/>
                <w:highlight w:val="none"/>
              </w:rPr>
              <w:t>0086-10-80127881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Merge w:val="continue"/>
            <w:vAlign w:val="center"/>
          </w:tcPr>
          <w:p>
            <w:pPr>
              <w:spacing w:before="62" w:beforeLines="20" w:after="62" w:afterLines="20" w:line="240" w:lineRule="auto"/>
              <w:jc w:val="center"/>
              <w:rPr>
                <w:szCs w:val="21"/>
                <w:highlight w:val="none"/>
              </w:rPr>
            </w:pPr>
          </w:p>
        </w:tc>
        <w:tc>
          <w:tcPr>
            <w:tcW w:w="2158" w:type="dxa"/>
            <w:vAlign w:val="center"/>
          </w:tcPr>
          <w:p>
            <w:pPr>
              <w:spacing w:before="62" w:beforeLines="20" w:after="62" w:afterLines="20" w:line="240" w:lineRule="auto"/>
              <w:jc w:val="center"/>
              <w:rPr>
                <w:szCs w:val="21"/>
                <w:highlight w:val="none"/>
              </w:rPr>
            </w:pPr>
            <w:r>
              <w:rPr>
                <w:szCs w:val="21"/>
                <w:highlight w:val="none"/>
              </w:rPr>
              <w:t>E-mail</w:t>
            </w:r>
          </w:p>
        </w:tc>
        <w:tc>
          <w:tcPr>
            <w:tcW w:w="5952" w:type="dxa"/>
            <w:gridSpan w:val="3"/>
            <w:vAlign w:val="center"/>
          </w:tcPr>
          <w:p>
            <w:pPr>
              <w:spacing w:before="62" w:beforeLines="20" w:after="62" w:afterLines="20" w:line="240" w:lineRule="auto"/>
              <w:jc w:val="left"/>
              <w:rPr>
                <w:szCs w:val="21"/>
                <w:highlight w:val="none"/>
              </w:rPr>
            </w:pPr>
            <w:r>
              <w:rPr>
                <w:highlight w:val="none"/>
              </w:rPr>
              <w:fldChar w:fldCharType="begin"/>
            </w:r>
            <w:r>
              <w:rPr>
                <w:highlight w:val="none"/>
              </w:rPr>
              <w:instrText xml:space="preserve"> HYPERLINK "mailto:zxyc@china-aibo.cn" </w:instrText>
            </w:r>
            <w:r>
              <w:rPr>
                <w:highlight w:val="none"/>
              </w:rPr>
              <w:fldChar w:fldCharType="separate"/>
            </w:r>
            <w:r>
              <w:rPr>
                <w:rStyle w:val="13"/>
                <w:rFonts w:eastAsia="宋体"/>
                <w:sz w:val="21"/>
                <w:szCs w:val="21"/>
                <w:highlight w:val="none"/>
              </w:rPr>
              <w:t>zxyc@china-aibo.cn</w:t>
            </w:r>
            <w:r>
              <w:rPr>
                <w:rStyle w:val="13"/>
                <w:rFonts w:eastAsia="宋体"/>
                <w:sz w:val="21"/>
                <w:szCs w:val="21"/>
                <w:highlight w:val="none"/>
              </w:rPr>
              <w:fldChar w:fldCharType="end"/>
            </w:r>
            <w:r>
              <w:rPr>
                <w:szCs w:val="21"/>
                <w:highlight w:val="none"/>
              </w:rPr>
              <w:t xml:space="preserve">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Merge w:val="continue"/>
            <w:vAlign w:val="center"/>
          </w:tcPr>
          <w:p>
            <w:pPr>
              <w:spacing w:before="62" w:beforeLines="20" w:after="62" w:afterLines="20" w:line="240" w:lineRule="auto"/>
              <w:jc w:val="center"/>
              <w:rPr>
                <w:szCs w:val="21"/>
                <w:highlight w:val="none"/>
              </w:rPr>
            </w:pPr>
          </w:p>
        </w:tc>
        <w:tc>
          <w:tcPr>
            <w:tcW w:w="2158" w:type="dxa"/>
            <w:vAlign w:val="center"/>
          </w:tcPr>
          <w:p>
            <w:pPr>
              <w:spacing w:before="62" w:beforeLines="20" w:after="62" w:afterLines="20" w:line="240" w:lineRule="auto"/>
              <w:jc w:val="center"/>
              <w:rPr>
                <w:szCs w:val="21"/>
                <w:highlight w:val="none"/>
              </w:rPr>
            </w:pPr>
            <w:r>
              <w:rPr>
                <w:rFonts w:eastAsia="Times New Roman"/>
                <w:szCs w:val="21"/>
                <w:highlight w:val="none"/>
              </w:rPr>
              <w:t>Address</w:t>
            </w:r>
          </w:p>
        </w:tc>
        <w:tc>
          <w:tcPr>
            <w:tcW w:w="5952" w:type="dxa"/>
            <w:gridSpan w:val="3"/>
            <w:vAlign w:val="center"/>
          </w:tcPr>
          <w:p>
            <w:pPr>
              <w:spacing w:before="62" w:beforeLines="20" w:after="62" w:afterLines="20" w:line="240" w:lineRule="auto"/>
              <w:rPr>
                <w:szCs w:val="21"/>
                <w:highlight w:val="none"/>
              </w:rPr>
            </w:pPr>
            <w:r>
              <w:rPr>
                <w:rFonts w:eastAsia="Times New Roman"/>
                <w:szCs w:val="21"/>
                <w:highlight w:val="none"/>
              </w:rPr>
              <w:t>Academy for International Business Officials (AIBO), MOFCOM, Aibo Road, Changping District, Beijing, China</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vAlign w:val="center"/>
          </w:tcPr>
          <w:p>
            <w:pPr>
              <w:spacing w:before="62" w:beforeLines="20" w:after="62" w:afterLines="20" w:line="240" w:lineRule="auto"/>
              <w:jc w:val="center"/>
              <w:rPr>
                <w:szCs w:val="21"/>
                <w:highlight w:val="none"/>
              </w:rPr>
            </w:pPr>
            <w:r>
              <w:rPr>
                <w:rFonts w:eastAsia="Times New Roman"/>
                <w:szCs w:val="21"/>
                <w:highlight w:val="none"/>
              </w:rPr>
              <w:t>About the Organizer</w:t>
            </w:r>
          </w:p>
        </w:tc>
        <w:tc>
          <w:tcPr>
            <w:tcW w:w="8110" w:type="dxa"/>
            <w:gridSpan w:val="4"/>
          </w:tcPr>
          <w:p>
            <w:pPr>
              <w:spacing w:before="62" w:beforeLines="20" w:after="62" w:afterLines="20" w:line="240" w:lineRule="auto"/>
              <w:ind w:firstLine="420" w:firstLineChars="200"/>
              <w:rPr>
                <w:szCs w:val="21"/>
                <w:highlight w:val="none"/>
              </w:rPr>
            </w:pPr>
            <w:r>
              <w:rPr>
                <w:rFonts w:eastAsia="Times New Roman"/>
                <w:szCs w:val="21"/>
                <w:highlight w:val="none"/>
              </w:rPr>
              <w:t>The Academy for International Business Officials (AIBO) is an educational and training institution directly under the Ministry of Commerce of the People's Republic of China. Established in 1980, AIBO is located in Changping District, Beijing, about 30 kilometers from Beijing Capital International Airport. It boasts comprehensive infrastructure to provide services such as accommodation, catering, training and meetings for trainees.</w:t>
            </w:r>
          </w:p>
          <w:p>
            <w:pPr>
              <w:spacing w:before="62" w:beforeLines="20" w:after="62" w:afterLines="20" w:line="240" w:lineRule="auto"/>
              <w:ind w:firstLine="420" w:firstLineChars="200"/>
              <w:rPr>
                <w:szCs w:val="21"/>
                <w:highlight w:val="none"/>
              </w:rPr>
            </w:pPr>
            <w:r>
              <w:rPr>
                <w:rFonts w:eastAsia="Times New Roman"/>
                <w:szCs w:val="21"/>
                <w:highlight w:val="none"/>
              </w:rPr>
              <w:t>One of the main responsibilities of AIBO is to implement human resources development and cooperation projects, especially training courses for officials. The Academy serves as the main base for China's foreign aid training, offering both off-line and on-line training in China and overseas.</w:t>
            </w:r>
          </w:p>
          <w:p>
            <w:pPr>
              <w:spacing w:before="62" w:beforeLines="20" w:after="62" w:afterLines="20" w:line="240" w:lineRule="auto"/>
              <w:ind w:firstLine="420" w:firstLineChars="200"/>
              <w:rPr>
                <w:szCs w:val="21"/>
                <w:highlight w:val="none"/>
              </w:rPr>
            </w:pPr>
            <w:r>
              <w:rPr>
                <w:rFonts w:eastAsia="Times New Roman"/>
                <w:szCs w:val="21"/>
                <w:highlight w:val="none"/>
              </w:rPr>
              <w:t>Backed by the Ministry of Commerce and in close cooperation with China's top think tanks, research institutes and universities, AIBO brings together a large number of China's top experts and scholars to provide intellectual support for foreign aid training. It has developed a number of high-quality foreign aid training projects in the fields of trade and investment, international economic cooperation, governance and public management, which have proved to be fruitful.</w:t>
            </w:r>
          </w:p>
          <w:p>
            <w:pPr>
              <w:spacing w:before="62" w:beforeLines="20" w:after="62" w:afterLines="20" w:line="240" w:lineRule="auto"/>
              <w:ind w:firstLine="420" w:firstLineChars="200"/>
              <w:rPr>
                <w:szCs w:val="21"/>
                <w:highlight w:val="none"/>
              </w:rPr>
            </w:pPr>
            <w:r>
              <w:rPr>
                <w:rFonts w:eastAsia="Times New Roman"/>
                <w:szCs w:val="21"/>
                <w:highlight w:val="none"/>
              </w:rPr>
              <w:t>Since 1998, AIBO has successfully held over 2,500 training sessions for officials from developing countries (including 147 ministerial seminars), benefiting about 84,000 participants from other developing countries around the world.</w:t>
            </w:r>
          </w:p>
          <w:p>
            <w:pPr>
              <w:spacing w:before="62" w:beforeLines="20" w:after="62" w:afterLines="20" w:line="240" w:lineRule="auto"/>
              <w:ind w:firstLine="420" w:firstLineChars="200"/>
              <w:rPr>
                <w:szCs w:val="21"/>
                <w:highlight w:val="none"/>
              </w:rPr>
            </w:pPr>
            <w:r>
              <w:rPr>
                <w:rFonts w:eastAsia="Times New Roman"/>
                <w:szCs w:val="21"/>
                <w:highlight w:val="none"/>
              </w:rPr>
              <w:t>AIBO will adhere to the guidance of Xi Jinping Thought on Socialism with Chinese Characteristics for a New Era, and take the important concepts, including a community with a shared future for mankind, pursuing the greater good and shared interests, and sincerity, real results, amity, good faith, mutual benefit and inclusiveness, as strategic guidance and fundamental principles to be followed. It will facilitate the joint efforts in implementing major initiatives such as the Belt and Road Initiative (BRI) and the Global Development Initiative (GDI), and continue to help developing countries accelerate their development by sharing China's experience and programs.</w:t>
            </w:r>
          </w:p>
          <w:p>
            <w:pPr>
              <w:spacing w:before="62" w:beforeLines="20" w:after="62" w:afterLines="20" w:line="240" w:lineRule="auto"/>
              <w:ind w:firstLine="420" w:firstLineChars="200"/>
              <w:rPr>
                <w:szCs w:val="21"/>
                <w:highlight w:val="none"/>
              </w:rPr>
            </w:pPr>
            <w:r>
              <w:rPr>
                <w:rFonts w:eastAsia="Times New Roman"/>
                <w:szCs w:val="21"/>
                <w:highlight w:val="none"/>
              </w:rPr>
              <w:t>For more information about AIBO, please visit https://www.china-aibo.cn/en/.</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tcBorders>
              <w:bottom w:val="single" w:color="auto" w:sz="4" w:space="0"/>
            </w:tcBorders>
            <w:vAlign w:val="center"/>
          </w:tcPr>
          <w:p>
            <w:pPr>
              <w:spacing w:before="62" w:beforeLines="20" w:after="62" w:afterLines="20" w:line="240" w:lineRule="auto"/>
              <w:jc w:val="center"/>
              <w:rPr>
                <w:szCs w:val="21"/>
                <w:highlight w:val="none"/>
              </w:rPr>
            </w:pPr>
            <w:r>
              <w:rPr>
                <w:rFonts w:eastAsia="Times New Roman"/>
                <w:szCs w:val="21"/>
                <w:highlight w:val="none"/>
              </w:rPr>
              <w:t>About the Seminar</w:t>
            </w:r>
          </w:p>
        </w:tc>
        <w:tc>
          <w:tcPr>
            <w:tcW w:w="8110" w:type="dxa"/>
            <w:gridSpan w:val="4"/>
            <w:tcBorders>
              <w:bottom w:val="single" w:color="auto" w:sz="4" w:space="0"/>
            </w:tcBorders>
            <w:vAlign w:val="center"/>
          </w:tcPr>
          <w:p>
            <w:pPr>
              <w:spacing w:before="62" w:beforeLines="20" w:after="62" w:afterLines="20" w:line="240" w:lineRule="auto"/>
              <w:ind w:firstLine="420" w:firstLineChars="200"/>
              <w:rPr>
                <w:szCs w:val="21"/>
                <w:highlight w:val="none"/>
              </w:rPr>
            </w:pPr>
            <w:r>
              <w:rPr>
                <w:rFonts w:eastAsia="Times New Roman"/>
                <w:b/>
                <w:szCs w:val="21"/>
                <w:highlight w:val="none"/>
              </w:rPr>
              <w:t xml:space="preserve">Background: </w:t>
            </w:r>
            <w:r>
              <w:rPr>
                <w:rFonts w:eastAsia="Times New Roman"/>
                <w:szCs w:val="21"/>
                <w:highlight w:val="none"/>
              </w:rPr>
              <w:t>China and Sri Lanka are traditional friendly neighbors, and exchanges and cooperation between the two countries in the field of healthcare have a long history. The development of healthcare is directly related to people's health and well-being and is a major livelihood issue of common concern to all countries. The Sri Lankan government is continuing to advance healthcare system reform and is committed to providing high-quality and efficient medical and healthcare services to its people. Through measures such as deepening reform of the medical and health system, advancing tiered diagnosis and treatment, improving the public health system, and promoting the inheritance, innovation, and development of traditional Chinese medicine, China has made significant achievements in healthcare and accumulated rich experience in hospital management, primary healthcare, and public health emergency response. China is willing to strengthen practical cooperation with Sri Lanka in healthcare, share its experience in building the healthcare system, help Sri Lanka improve the level of medical and health services, and benefit the people of both countries.</w:t>
            </w:r>
          </w:p>
          <w:p>
            <w:pPr>
              <w:spacing w:before="62" w:beforeLines="20" w:after="62" w:afterLines="20" w:line="240" w:lineRule="auto"/>
              <w:ind w:firstLine="420" w:firstLineChars="200"/>
              <w:rPr>
                <w:szCs w:val="21"/>
                <w:highlight w:val="none"/>
              </w:rPr>
            </w:pPr>
            <w:r>
              <w:rPr>
                <w:rFonts w:eastAsia="Times New Roman"/>
                <w:b/>
                <w:szCs w:val="21"/>
                <w:highlight w:val="none"/>
              </w:rPr>
              <w:t xml:space="preserve">Purpose: </w:t>
            </w:r>
            <w:r>
              <w:rPr>
                <w:rFonts w:eastAsia="Times New Roman"/>
                <w:szCs w:val="21"/>
                <w:highlight w:val="none"/>
              </w:rPr>
              <w:t>This seminar aims to build a platform for China-Sri Lanka exchanges and cooperation in healthcare, share China's successful experience in healthcare system development, hospital management, public health, traditional medicine, and medical personnel training, help Sri Lankan participants understand China's successful practices in healthcare development, promote deeper and more practical healthcare cooperation between the two countries, and make a positive contribution to improving the health and well-being of their people and consolidating the traditional friendship between China and Sri Lanka.</w:t>
            </w:r>
          </w:p>
          <w:p>
            <w:pPr>
              <w:spacing w:before="62" w:beforeLines="20" w:after="62" w:afterLines="20" w:line="240" w:lineRule="auto"/>
              <w:ind w:firstLine="420" w:firstLineChars="200"/>
              <w:rPr>
                <w:szCs w:val="21"/>
                <w:highlight w:val="none"/>
              </w:rPr>
            </w:pPr>
            <w:r>
              <w:rPr>
                <w:rFonts w:eastAsia="Times New Roman"/>
                <w:b/>
                <w:szCs w:val="21"/>
                <w:highlight w:val="none"/>
              </w:rPr>
              <w:t xml:space="preserve">Content: </w:t>
            </w:r>
            <w:r>
              <w:rPr>
                <w:rFonts w:eastAsia="Times New Roman"/>
                <w:szCs w:val="21"/>
                <w:highlight w:val="none"/>
              </w:rPr>
              <w:t>The topics of the seminar will mainly cover China's national conditions and Chinese modernization, China's medical and healthcare system reform, the development of China's healthcare system, hospital management practices, public health emergency management, the development of traditional medicine, medical personnel training, and capacity building for primary healthcare services.</w:t>
            </w:r>
          </w:p>
          <w:p>
            <w:pPr>
              <w:spacing w:before="62" w:beforeLines="20" w:after="62" w:afterLines="20" w:line="240" w:lineRule="auto"/>
              <w:ind w:firstLine="420" w:firstLineChars="200"/>
              <w:rPr>
                <w:color w:val="000000"/>
                <w:szCs w:val="21"/>
                <w:highlight w:val="none"/>
              </w:rPr>
            </w:pPr>
            <w:r>
              <w:rPr>
                <w:rFonts w:eastAsia="Times New Roman"/>
                <w:b/>
                <w:szCs w:val="21"/>
                <w:highlight w:val="none"/>
              </w:rPr>
              <w:t>Methods:</w:t>
            </w:r>
            <w:r>
              <w:rPr>
                <w:rFonts w:eastAsia="Times New Roman"/>
                <w:szCs w:val="21"/>
                <w:highlight w:val="none"/>
              </w:rPr>
              <w:t xml:space="preserve"> Invite experts in related fields to give special lectures on different themes; organize discussions and exchanges between trainees and experts and among trainees; and organize trainees to pay field visits to relevant organizations and enterprises in Beijing and other cities.</w:t>
            </w:r>
          </w:p>
          <w:p>
            <w:pPr>
              <w:spacing w:before="62" w:beforeLines="20" w:after="62" w:afterLines="20" w:line="240" w:lineRule="auto"/>
              <w:ind w:firstLine="420" w:firstLineChars="200"/>
              <w:rPr>
                <w:szCs w:val="21"/>
                <w:highlight w:val="none"/>
              </w:rPr>
            </w:pPr>
            <w:r>
              <w:rPr>
                <w:rFonts w:eastAsia="Times New Roman"/>
                <w:szCs w:val="21"/>
                <w:highlight w:val="none"/>
              </w:rPr>
              <w:t>(The above is a preliminary schedule, which may be adjusted based on the actual situation. The final version will be provided after your arrival in China.)</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jc w:val="center"/>
        </w:trPr>
        <w:tc>
          <w:tcPr>
            <w:tcW w:w="1646" w:type="dxa"/>
            <w:tcBorders>
              <w:top w:val="single" w:color="auto" w:sz="4" w:space="0"/>
            </w:tcBorders>
            <w:vAlign w:val="center"/>
          </w:tcPr>
          <w:p>
            <w:pPr>
              <w:spacing w:before="62" w:beforeLines="20" w:after="62" w:afterLines="20" w:line="240" w:lineRule="auto"/>
              <w:jc w:val="center"/>
              <w:rPr>
                <w:szCs w:val="21"/>
                <w:highlight w:val="none"/>
              </w:rPr>
            </w:pPr>
            <w:r>
              <w:rPr>
                <w:rFonts w:eastAsia="Times New Roman"/>
                <w:szCs w:val="21"/>
                <w:highlight w:val="none"/>
              </w:rPr>
              <w:t>Notes</w:t>
            </w:r>
          </w:p>
        </w:tc>
        <w:tc>
          <w:tcPr>
            <w:tcW w:w="8110" w:type="dxa"/>
            <w:gridSpan w:val="4"/>
            <w:tcBorders>
              <w:top w:val="single" w:color="auto" w:sz="4" w:space="0"/>
            </w:tcBorders>
            <w:vAlign w:val="center"/>
          </w:tcPr>
          <w:p>
            <w:pPr>
              <w:spacing w:before="62" w:beforeLines="20" w:after="62" w:afterLines="20" w:line="240" w:lineRule="auto"/>
              <w:ind w:firstLine="420" w:firstLineChars="200"/>
              <w:rPr>
                <w:bCs/>
                <w:szCs w:val="21"/>
                <w:highlight w:val="none"/>
              </w:rPr>
            </w:pPr>
            <w:r>
              <w:rPr>
                <w:rFonts w:eastAsia="Times New Roman"/>
                <w:szCs w:val="21"/>
                <w:highlight w:val="none"/>
              </w:rPr>
              <w:t>1. Please prepare your passport, Chinese visa and third-party transit country visa (if necessary) before coming to China.</w:t>
            </w:r>
          </w:p>
          <w:p>
            <w:pPr>
              <w:spacing w:before="62" w:beforeLines="20" w:after="62" w:afterLines="20" w:line="240" w:lineRule="auto"/>
              <w:ind w:firstLine="420" w:firstLineChars="200"/>
              <w:rPr>
                <w:bCs/>
                <w:szCs w:val="21"/>
                <w:highlight w:val="none"/>
              </w:rPr>
            </w:pPr>
            <w:r>
              <w:rPr>
                <w:rFonts w:eastAsia="Times New Roman"/>
                <w:szCs w:val="21"/>
                <w:highlight w:val="none"/>
              </w:rPr>
              <w:t>2. If you cannot depart on time due to special circumstances, or if there is a flight delay during the transfer, please contact the Economic and Commercial Office of the Chinese embassy or the organizer in time and inform the staff of the new flight No. and time of arrival in Beijing so that the staff can arrange pick-up for you.</w:t>
            </w:r>
          </w:p>
          <w:p>
            <w:pPr>
              <w:spacing w:before="62" w:beforeLines="20" w:after="62" w:afterLines="20" w:line="240" w:lineRule="auto"/>
              <w:ind w:firstLine="420" w:firstLineChars="200"/>
              <w:rPr>
                <w:bCs/>
                <w:szCs w:val="21"/>
                <w:highlight w:val="none"/>
              </w:rPr>
            </w:pPr>
            <w:r>
              <w:rPr>
                <w:rFonts w:eastAsia="Times New Roman"/>
                <w:szCs w:val="21"/>
                <w:highlight w:val="none"/>
              </w:rPr>
              <w:t>3. In principle, it is not allowed to change the air tickets to China. If you really need to do so, please contact the Economic and Commercial Office of the Chinese embassy and follow the procedures to change your ticket. If you change the air ticket without consent, the organizer will report it to the Economic and Commercial Office of the Chinese embassy and the costs and responsibilities therefore incurred shall be borne by yourself.</w:t>
            </w:r>
          </w:p>
          <w:p>
            <w:pPr>
              <w:spacing w:before="62" w:beforeLines="20" w:after="62" w:afterLines="20" w:line="240" w:lineRule="auto"/>
              <w:ind w:firstLine="420" w:firstLineChars="200"/>
              <w:rPr>
                <w:bCs/>
                <w:szCs w:val="21"/>
                <w:highlight w:val="none"/>
              </w:rPr>
            </w:pPr>
            <w:r>
              <w:rPr>
                <w:rFonts w:eastAsia="Times New Roman"/>
                <w:szCs w:val="21"/>
                <w:highlight w:val="none"/>
              </w:rPr>
              <w:t>4. After claiming your luggage, please wait patiently at the international arrival exit (or domestic arrival exit) and the staff will pick you up with a pick-up board with your name on it. If you wait more than 15 minutes, please call the organizer immediately.</w:t>
            </w:r>
          </w:p>
          <w:p>
            <w:pPr>
              <w:spacing w:before="62" w:beforeLines="20" w:after="62" w:afterLines="20" w:line="240" w:lineRule="auto"/>
              <w:ind w:firstLine="420" w:firstLineChars="200"/>
              <w:rPr>
                <w:bCs/>
                <w:szCs w:val="21"/>
                <w:highlight w:val="none"/>
              </w:rPr>
            </w:pPr>
            <w:r>
              <w:rPr>
                <w:rFonts w:eastAsia="Times New Roman"/>
                <w:szCs w:val="21"/>
                <w:highlight w:val="none"/>
              </w:rPr>
              <w:t>5. In case of lost luggage to be registered with the airline, please first communicate with the organizer to confirm the luggage delivery location and then fill in the registration form.</w:t>
            </w:r>
          </w:p>
          <w:p>
            <w:pPr>
              <w:spacing w:before="62" w:beforeLines="20" w:after="62" w:afterLines="20" w:line="240" w:lineRule="auto"/>
              <w:ind w:firstLine="420" w:firstLineChars="200"/>
              <w:rPr>
                <w:bCs/>
                <w:szCs w:val="21"/>
                <w:highlight w:val="none"/>
              </w:rPr>
            </w:pPr>
            <w:r>
              <w:rPr>
                <w:rFonts w:eastAsia="Times New Roman"/>
                <w:szCs w:val="21"/>
                <w:highlight w:val="none"/>
              </w:rPr>
              <w:t>6. Dress Code: Please check the weather conditions at the seminar venue and bring appropriate clothing. For important occasions, please dress formally (national costumes are acceptable).</w:t>
            </w:r>
          </w:p>
          <w:p>
            <w:pPr>
              <w:spacing w:before="62" w:beforeLines="20" w:after="62" w:afterLines="20" w:line="240" w:lineRule="auto"/>
              <w:ind w:firstLine="420" w:firstLineChars="200"/>
              <w:rPr>
                <w:bCs/>
                <w:szCs w:val="21"/>
                <w:highlight w:val="none"/>
              </w:rPr>
            </w:pPr>
            <w:r>
              <w:rPr>
                <w:rFonts w:eastAsia="Times New Roman"/>
                <w:szCs w:val="21"/>
                <w:highlight w:val="none"/>
              </w:rPr>
              <w:t>7. For details about the host city (Beijing), please visit: https://english.beijing.gov.cn/</w:t>
            </w:r>
          </w:p>
        </w:tc>
      </w:tr>
    </w:tbl>
    <w:p>
      <w:pPr>
        <w:rPr>
          <w:b/>
          <w:bCs/>
          <w:sz w:val="44"/>
          <w:szCs w:val="44"/>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right" w:y="1"/>
      <w:rPr>
        <w:rStyle w:val="12"/>
        <w:sz w:val="21"/>
        <w:szCs w:val="21"/>
      </w:rPr>
    </w:pPr>
    <w:r>
      <w:rPr>
        <w:sz w:val="21"/>
        <w:szCs w:val="21"/>
      </w:rPr>
      <w:fldChar w:fldCharType="begin"/>
    </w:r>
    <w:r>
      <w:rPr>
        <w:rStyle w:val="12"/>
        <w:sz w:val="21"/>
        <w:szCs w:val="21"/>
      </w:rPr>
      <w:instrText xml:space="preserve">PAGE  </w:instrText>
    </w:r>
    <w:r>
      <w:rPr>
        <w:sz w:val="21"/>
        <w:szCs w:val="21"/>
      </w:rPr>
      <w:fldChar w:fldCharType="separate"/>
    </w:r>
    <w:r>
      <w:rPr>
        <w:rStyle w:val="12"/>
        <w:sz w:val="21"/>
        <w:szCs w:val="21"/>
      </w:rPr>
      <w:t>4</w:t>
    </w:r>
    <w:r>
      <w:rPr>
        <w:sz w:val="21"/>
        <w:szCs w:val="21"/>
      </w:rPr>
      <w:fldChar w:fldCharType="end"/>
    </w:r>
  </w:p>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right" w:y="1"/>
      <w:rPr>
        <w:rStyle w:val="12"/>
      </w:rPr>
    </w:pPr>
    <w:r>
      <w:fldChar w:fldCharType="begin"/>
    </w:r>
    <w:r>
      <w:rPr>
        <w:rStyle w:val="12"/>
      </w:rPr>
      <w:instrText xml:space="preserve">PAGE  </w:instrText>
    </w:r>
    <w:r>
      <w:fldChar w:fldCharType="separate"/>
    </w:r>
    <w:r>
      <w:rPr>
        <w:rStyle w:val="12"/>
      </w:rPr>
      <w:t>1</w:t>
    </w:r>
    <w:r>
      <w:fldChar w:fldCharType="end"/>
    </w:r>
  </w:p>
  <w:p>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E2338C"/>
    <w:multiLevelType w:val="multilevel"/>
    <w:tmpl w:val="27E2338C"/>
    <w:lvl w:ilvl="0" w:tentative="0">
      <w:start w:val="1"/>
      <w:numFmt w:val="decimal"/>
      <w:pStyle w:val="21"/>
      <w:lvlText w:val="%1a."/>
      <w:lvlJc w:val="left"/>
      <w:pPr>
        <w:tabs>
          <w:tab w:val="left" w:pos="425"/>
        </w:tabs>
        <w:ind w:left="425" w:hanging="425"/>
      </w:pPr>
      <w:rPr>
        <w:rFonts w:hint="eastAsia" w:ascii="宋体" w:eastAsia="宋体"/>
        <w:b w:val="0"/>
        <w:i w:val="0"/>
        <w:sz w:val="28"/>
        <w:szCs w:val="28"/>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bUwNrQ0NTUyszQxNjBT0lEKTi0uzszPAykwrAUAcrJtaywAAAA="/>
    <w:docVar w:name="commondata" w:val="eyJoZGlkIjoiODY4N2JkNDBjMzFjN2QxOTJlMThjMzVlYTM3OWJiYWMifQ=="/>
  </w:docVars>
  <w:rsids>
    <w:rsidRoot w:val="00F76634"/>
    <w:rsid w:val="0000086E"/>
    <w:rsid w:val="00000DA5"/>
    <w:rsid w:val="00003EA2"/>
    <w:rsid w:val="00024134"/>
    <w:rsid w:val="00032586"/>
    <w:rsid w:val="00035B8A"/>
    <w:rsid w:val="00041F32"/>
    <w:rsid w:val="00042562"/>
    <w:rsid w:val="00043A40"/>
    <w:rsid w:val="00046DC7"/>
    <w:rsid w:val="00052870"/>
    <w:rsid w:val="00054FA9"/>
    <w:rsid w:val="00092402"/>
    <w:rsid w:val="00095EEA"/>
    <w:rsid w:val="000A1F3B"/>
    <w:rsid w:val="000B47C5"/>
    <w:rsid w:val="000B6D8F"/>
    <w:rsid w:val="000C1FF9"/>
    <w:rsid w:val="000C363D"/>
    <w:rsid w:val="000C4F54"/>
    <w:rsid w:val="000D0027"/>
    <w:rsid w:val="000D1088"/>
    <w:rsid w:val="000D302E"/>
    <w:rsid w:val="000E068B"/>
    <w:rsid w:val="00105DD6"/>
    <w:rsid w:val="001213D5"/>
    <w:rsid w:val="00126FCA"/>
    <w:rsid w:val="00142513"/>
    <w:rsid w:val="00147C9E"/>
    <w:rsid w:val="0015536E"/>
    <w:rsid w:val="00157BCF"/>
    <w:rsid w:val="0016235F"/>
    <w:rsid w:val="0017215A"/>
    <w:rsid w:val="00173F9A"/>
    <w:rsid w:val="00177FA6"/>
    <w:rsid w:val="00186F3C"/>
    <w:rsid w:val="001875F1"/>
    <w:rsid w:val="00194232"/>
    <w:rsid w:val="00195095"/>
    <w:rsid w:val="001B143F"/>
    <w:rsid w:val="001B5CCD"/>
    <w:rsid w:val="001C4E44"/>
    <w:rsid w:val="001C7807"/>
    <w:rsid w:val="001D1862"/>
    <w:rsid w:val="001D5FEB"/>
    <w:rsid w:val="001F3B26"/>
    <w:rsid w:val="001F6CED"/>
    <w:rsid w:val="002043C8"/>
    <w:rsid w:val="002045FC"/>
    <w:rsid w:val="0021107C"/>
    <w:rsid w:val="00221E7A"/>
    <w:rsid w:val="00221F43"/>
    <w:rsid w:val="00222483"/>
    <w:rsid w:val="00227381"/>
    <w:rsid w:val="00234105"/>
    <w:rsid w:val="00236DDD"/>
    <w:rsid w:val="00237AF5"/>
    <w:rsid w:val="00247C42"/>
    <w:rsid w:val="002502BD"/>
    <w:rsid w:val="00273691"/>
    <w:rsid w:val="00275530"/>
    <w:rsid w:val="002A39D2"/>
    <w:rsid w:val="002B1DFA"/>
    <w:rsid w:val="002C249C"/>
    <w:rsid w:val="002C2E38"/>
    <w:rsid w:val="002D2EA5"/>
    <w:rsid w:val="002D4919"/>
    <w:rsid w:val="002D594B"/>
    <w:rsid w:val="00331E50"/>
    <w:rsid w:val="00365C27"/>
    <w:rsid w:val="0036611B"/>
    <w:rsid w:val="00367BB3"/>
    <w:rsid w:val="0037011E"/>
    <w:rsid w:val="00373A41"/>
    <w:rsid w:val="00380E21"/>
    <w:rsid w:val="00383276"/>
    <w:rsid w:val="00391EC4"/>
    <w:rsid w:val="003A01BF"/>
    <w:rsid w:val="003A2AD4"/>
    <w:rsid w:val="003A34AC"/>
    <w:rsid w:val="003B4106"/>
    <w:rsid w:val="003B5725"/>
    <w:rsid w:val="003B5913"/>
    <w:rsid w:val="003D21B4"/>
    <w:rsid w:val="003D69A0"/>
    <w:rsid w:val="003D7409"/>
    <w:rsid w:val="003E3B7D"/>
    <w:rsid w:val="003E3B93"/>
    <w:rsid w:val="00411DDE"/>
    <w:rsid w:val="00421882"/>
    <w:rsid w:val="00424E95"/>
    <w:rsid w:val="004306F1"/>
    <w:rsid w:val="00430E8D"/>
    <w:rsid w:val="004321C4"/>
    <w:rsid w:val="00434AA4"/>
    <w:rsid w:val="0046045E"/>
    <w:rsid w:val="00463341"/>
    <w:rsid w:val="00464A67"/>
    <w:rsid w:val="00465349"/>
    <w:rsid w:val="0047170C"/>
    <w:rsid w:val="00472D61"/>
    <w:rsid w:val="00474B1B"/>
    <w:rsid w:val="00481CE6"/>
    <w:rsid w:val="00483816"/>
    <w:rsid w:val="00491CC5"/>
    <w:rsid w:val="00493FA6"/>
    <w:rsid w:val="00496C6B"/>
    <w:rsid w:val="004A6B78"/>
    <w:rsid w:val="004C0886"/>
    <w:rsid w:val="004C2BC0"/>
    <w:rsid w:val="004C7B0F"/>
    <w:rsid w:val="004E2929"/>
    <w:rsid w:val="004E57D9"/>
    <w:rsid w:val="005065B1"/>
    <w:rsid w:val="00517A2D"/>
    <w:rsid w:val="00520052"/>
    <w:rsid w:val="00524916"/>
    <w:rsid w:val="00544069"/>
    <w:rsid w:val="0054713E"/>
    <w:rsid w:val="005605D3"/>
    <w:rsid w:val="0056278B"/>
    <w:rsid w:val="005630B5"/>
    <w:rsid w:val="005651BA"/>
    <w:rsid w:val="00565385"/>
    <w:rsid w:val="00572AEF"/>
    <w:rsid w:val="005775ED"/>
    <w:rsid w:val="00583F71"/>
    <w:rsid w:val="00586D8C"/>
    <w:rsid w:val="005A0745"/>
    <w:rsid w:val="005B051C"/>
    <w:rsid w:val="005B26F7"/>
    <w:rsid w:val="005E09E4"/>
    <w:rsid w:val="005E149C"/>
    <w:rsid w:val="005E74F5"/>
    <w:rsid w:val="005E7C1F"/>
    <w:rsid w:val="005F7447"/>
    <w:rsid w:val="00603433"/>
    <w:rsid w:val="00612D29"/>
    <w:rsid w:val="0062264B"/>
    <w:rsid w:val="00622A91"/>
    <w:rsid w:val="00623A7B"/>
    <w:rsid w:val="00625B33"/>
    <w:rsid w:val="006268B8"/>
    <w:rsid w:val="00627AAF"/>
    <w:rsid w:val="00637A6E"/>
    <w:rsid w:val="00641C65"/>
    <w:rsid w:val="00644726"/>
    <w:rsid w:val="006448AE"/>
    <w:rsid w:val="006470CC"/>
    <w:rsid w:val="00662D82"/>
    <w:rsid w:val="006840FC"/>
    <w:rsid w:val="006971AE"/>
    <w:rsid w:val="006A3D65"/>
    <w:rsid w:val="006B322C"/>
    <w:rsid w:val="006C16BF"/>
    <w:rsid w:val="006D5448"/>
    <w:rsid w:val="006E116D"/>
    <w:rsid w:val="006E25FE"/>
    <w:rsid w:val="006F0CB4"/>
    <w:rsid w:val="006F5521"/>
    <w:rsid w:val="006F7E9C"/>
    <w:rsid w:val="00720520"/>
    <w:rsid w:val="00722D81"/>
    <w:rsid w:val="00725775"/>
    <w:rsid w:val="00736867"/>
    <w:rsid w:val="007428C0"/>
    <w:rsid w:val="007461BB"/>
    <w:rsid w:val="007553DC"/>
    <w:rsid w:val="0076154F"/>
    <w:rsid w:val="007617E1"/>
    <w:rsid w:val="00762DE4"/>
    <w:rsid w:val="0077249D"/>
    <w:rsid w:val="00775687"/>
    <w:rsid w:val="00793849"/>
    <w:rsid w:val="007B2BE8"/>
    <w:rsid w:val="007B4E1A"/>
    <w:rsid w:val="007B583B"/>
    <w:rsid w:val="007C3BEE"/>
    <w:rsid w:val="007C7E6E"/>
    <w:rsid w:val="007D04BD"/>
    <w:rsid w:val="007D1C0B"/>
    <w:rsid w:val="007F6355"/>
    <w:rsid w:val="008036BB"/>
    <w:rsid w:val="00810243"/>
    <w:rsid w:val="008128A2"/>
    <w:rsid w:val="008219EE"/>
    <w:rsid w:val="00826CA1"/>
    <w:rsid w:val="00827EB8"/>
    <w:rsid w:val="00837E1E"/>
    <w:rsid w:val="00842AFC"/>
    <w:rsid w:val="00855BE6"/>
    <w:rsid w:val="00857459"/>
    <w:rsid w:val="00862585"/>
    <w:rsid w:val="008650FF"/>
    <w:rsid w:val="008715B7"/>
    <w:rsid w:val="00872E43"/>
    <w:rsid w:val="00877548"/>
    <w:rsid w:val="00884A3D"/>
    <w:rsid w:val="00885A39"/>
    <w:rsid w:val="008A133C"/>
    <w:rsid w:val="008B5309"/>
    <w:rsid w:val="008D035C"/>
    <w:rsid w:val="008D5E75"/>
    <w:rsid w:val="008D7E65"/>
    <w:rsid w:val="008E220C"/>
    <w:rsid w:val="008E2806"/>
    <w:rsid w:val="008E58D1"/>
    <w:rsid w:val="008E7A11"/>
    <w:rsid w:val="009011C1"/>
    <w:rsid w:val="009074D3"/>
    <w:rsid w:val="00921936"/>
    <w:rsid w:val="00922FA7"/>
    <w:rsid w:val="009232CB"/>
    <w:rsid w:val="009258A7"/>
    <w:rsid w:val="0092700D"/>
    <w:rsid w:val="009348A2"/>
    <w:rsid w:val="00940136"/>
    <w:rsid w:val="00945131"/>
    <w:rsid w:val="00945CE4"/>
    <w:rsid w:val="009574ED"/>
    <w:rsid w:val="00965750"/>
    <w:rsid w:val="00986D3A"/>
    <w:rsid w:val="009A2B04"/>
    <w:rsid w:val="009A48F9"/>
    <w:rsid w:val="009A5206"/>
    <w:rsid w:val="009A5B07"/>
    <w:rsid w:val="009A6211"/>
    <w:rsid w:val="009C1A8C"/>
    <w:rsid w:val="009C4928"/>
    <w:rsid w:val="009C711F"/>
    <w:rsid w:val="009D3EC2"/>
    <w:rsid w:val="009E1787"/>
    <w:rsid w:val="009F595E"/>
    <w:rsid w:val="009F6614"/>
    <w:rsid w:val="009F7D7D"/>
    <w:rsid w:val="00A00EF1"/>
    <w:rsid w:val="00A10FF5"/>
    <w:rsid w:val="00A11EA4"/>
    <w:rsid w:val="00A12CA8"/>
    <w:rsid w:val="00A1703B"/>
    <w:rsid w:val="00A20CD3"/>
    <w:rsid w:val="00A221F4"/>
    <w:rsid w:val="00A22DDD"/>
    <w:rsid w:val="00A44FC5"/>
    <w:rsid w:val="00A52D5D"/>
    <w:rsid w:val="00A62406"/>
    <w:rsid w:val="00A62970"/>
    <w:rsid w:val="00A63C60"/>
    <w:rsid w:val="00A70797"/>
    <w:rsid w:val="00A715C1"/>
    <w:rsid w:val="00A73098"/>
    <w:rsid w:val="00A906DF"/>
    <w:rsid w:val="00A912C8"/>
    <w:rsid w:val="00A931B4"/>
    <w:rsid w:val="00A951A9"/>
    <w:rsid w:val="00AA0340"/>
    <w:rsid w:val="00AB037B"/>
    <w:rsid w:val="00AB1D3B"/>
    <w:rsid w:val="00AD7B56"/>
    <w:rsid w:val="00AE6D48"/>
    <w:rsid w:val="00AF348D"/>
    <w:rsid w:val="00AF7BF8"/>
    <w:rsid w:val="00B10013"/>
    <w:rsid w:val="00B155B5"/>
    <w:rsid w:val="00B17144"/>
    <w:rsid w:val="00B30229"/>
    <w:rsid w:val="00B43616"/>
    <w:rsid w:val="00B45F14"/>
    <w:rsid w:val="00B51A0A"/>
    <w:rsid w:val="00B61661"/>
    <w:rsid w:val="00B67CA7"/>
    <w:rsid w:val="00B758D3"/>
    <w:rsid w:val="00B76CC1"/>
    <w:rsid w:val="00B76CF8"/>
    <w:rsid w:val="00B87C6B"/>
    <w:rsid w:val="00B966E6"/>
    <w:rsid w:val="00BB394A"/>
    <w:rsid w:val="00BB3AA1"/>
    <w:rsid w:val="00BB3CEF"/>
    <w:rsid w:val="00BC17EA"/>
    <w:rsid w:val="00BC2C12"/>
    <w:rsid w:val="00BC2C90"/>
    <w:rsid w:val="00BC2F83"/>
    <w:rsid w:val="00BC3763"/>
    <w:rsid w:val="00BC463C"/>
    <w:rsid w:val="00BE0363"/>
    <w:rsid w:val="00BE43B8"/>
    <w:rsid w:val="00C07239"/>
    <w:rsid w:val="00C205F8"/>
    <w:rsid w:val="00C267AD"/>
    <w:rsid w:val="00C300DC"/>
    <w:rsid w:val="00C31B98"/>
    <w:rsid w:val="00C35F24"/>
    <w:rsid w:val="00C51D33"/>
    <w:rsid w:val="00C527FF"/>
    <w:rsid w:val="00C60CD9"/>
    <w:rsid w:val="00C64CB5"/>
    <w:rsid w:val="00C75A03"/>
    <w:rsid w:val="00C80ADB"/>
    <w:rsid w:val="00C91183"/>
    <w:rsid w:val="00CA2866"/>
    <w:rsid w:val="00CA2E46"/>
    <w:rsid w:val="00CA36E0"/>
    <w:rsid w:val="00CA4F81"/>
    <w:rsid w:val="00CB0528"/>
    <w:rsid w:val="00CC6397"/>
    <w:rsid w:val="00CC6B01"/>
    <w:rsid w:val="00CD2D74"/>
    <w:rsid w:val="00CD5023"/>
    <w:rsid w:val="00CE317B"/>
    <w:rsid w:val="00CE5E22"/>
    <w:rsid w:val="00CF03B9"/>
    <w:rsid w:val="00CF2F8E"/>
    <w:rsid w:val="00CF68AA"/>
    <w:rsid w:val="00D01EAF"/>
    <w:rsid w:val="00D02C08"/>
    <w:rsid w:val="00D10935"/>
    <w:rsid w:val="00D130F8"/>
    <w:rsid w:val="00D13D28"/>
    <w:rsid w:val="00D14F30"/>
    <w:rsid w:val="00D219FD"/>
    <w:rsid w:val="00D26E1A"/>
    <w:rsid w:val="00D372CE"/>
    <w:rsid w:val="00D37FD2"/>
    <w:rsid w:val="00D44B6B"/>
    <w:rsid w:val="00D47C1A"/>
    <w:rsid w:val="00D66D5D"/>
    <w:rsid w:val="00D85E79"/>
    <w:rsid w:val="00D85FA4"/>
    <w:rsid w:val="00D95E77"/>
    <w:rsid w:val="00DA48F0"/>
    <w:rsid w:val="00DB7DCB"/>
    <w:rsid w:val="00DC1F6C"/>
    <w:rsid w:val="00DC3F24"/>
    <w:rsid w:val="00DE60BF"/>
    <w:rsid w:val="00DF479F"/>
    <w:rsid w:val="00E0333E"/>
    <w:rsid w:val="00E41F47"/>
    <w:rsid w:val="00E54379"/>
    <w:rsid w:val="00E559FF"/>
    <w:rsid w:val="00E55D2E"/>
    <w:rsid w:val="00E65B1D"/>
    <w:rsid w:val="00E65D18"/>
    <w:rsid w:val="00E7145F"/>
    <w:rsid w:val="00E727F8"/>
    <w:rsid w:val="00E80FC4"/>
    <w:rsid w:val="00E81DC8"/>
    <w:rsid w:val="00E82418"/>
    <w:rsid w:val="00E90955"/>
    <w:rsid w:val="00E90FF3"/>
    <w:rsid w:val="00E914A0"/>
    <w:rsid w:val="00EB5448"/>
    <w:rsid w:val="00EB7281"/>
    <w:rsid w:val="00EB79A8"/>
    <w:rsid w:val="00EC103F"/>
    <w:rsid w:val="00EC348E"/>
    <w:rsid w:val="00EE1036"/>
    <w:rsid w:val="00EE3AA8"/>
    <w:rsid w:val="00EE4A77"/>
    <w:rsid w:val="00EF1FB3"/>
    <w:rsid w:val="00EF61BE"/>
    <w:rsid w:val="00F01788"/>
    <w:rsid w:val="00F17631"/>
    <w:rsid w:val="00F259A2"/>
    <w:rsid w:val="00F3566F"/>
    <w:rsid w:val="00F42453"/>
    <w:rsid w:val="00F67660"/>
    <w:rsid w:val="00F67A67"/>
    <w:rsid w:val="00F735DE"/>
    <w:rsid w:val="00F76634"/>
    <w:rsid w:val="00F76FF2"/>
    <w:rsid w:val="00F81D8E"/>
    <w:rsid w:val="00F87684"/>
    <w:rsid w:val="00FB745C"/>
    <w:rsid w:val="00FC40A7"/>
    <w:rsid w:val="00FD3E19"/>
    <w:rsid w:val="00FD674C"/>
    <w:rsid w:val="00FD6DAD"/>
    <w:rsid w:val="00FE17DA"/>
    <w:rsid w:val="00FE7E39"/>
    <w:rsid w:val="00FF1BCB"/>
    <w:rsid w:val="03AA300E"/>
    <w:rsid w:val="03C811C5"/>
    <w:rsid w:val="054472F0"/>
    <w:rsid w:val="07FB4E2D"/>
    <w:rsid w:val="082425D6"/>
    <w:rsid w:val="086066C8"/>
    <w:rsid w:val="091F7ED9"/>
    <w:rsid w:val="09750C0F"/>
    <w:rsid w:val="0ADB0F46"/>
    <w:rsid w:val="0BDB2F98"/>
    <w:rsid w:val="0D3C2B65"/>
    <w:rsid w:val="10A53FF3"/>
    <w:rsid w:val="123D38A3"/>
    <w:rsid w:val="149B074F"/>
    <w:rsid w:val="18736C61"/>
    <w:rsid w:val="1B3961BF"/>
    <w:rsid w:val="1BB2184F"/>
    <w:rsid w:val="1BD31721"/>
    <w:rsid w:val="1D183933"/>
    <w:rsid w:val="1E5F4D93"/>
    <w:rsid w:val="21930511"/>
    <w:rsid w:val="235059FB"/>
    <w:rsid w:val="275C40A3"/>
    <w:rsid w:val="291A1E78"/>
    <w:rsid w:val="2C1C6EAE"/>
    <w:rsid w:val="330F3FF7"/>
    <w:rsid w:val="365C7872"/>
    <w:rsid w:val="36D44917"/>
    <w:rsid w:val="380E40B9"/>
    <w:rsid w:val="39CC440C"/>
    <w:rsid w:val="39D27F2A"/>
    <w:rsid w:val="3B872DC1"/>
    <w:rsid w:val="3BE2722E"/>
    <w:rsid w:val="3E5A38FA"/>
    <w:rsid w:val="3EB73D2F"/>
    <w:rsid w:val="3F356003"/>
    <w:rsid w:val="411C3143"/>
    <w:rsid w:val="415F5DE9"/>
    <w:rsid w:val="43610BB5"/>
    <w:rsid w:val="441D0A7F"/>
    <w:rsid w:val="455708D9"/>
    <w:rsid w:val="4A353517"/>
    <w:rsid w:val="4A6B2631"/>
    <w:rsid w:val="4B193850"/>
    <w:rsid w:val="4B6B0F4E"/>
    <w:rsid w:val="4BDE7972"/>
    <w:rsid w:val="4DAE2A16"/>
    <w:rsid w:val="4DE020D9"/>
    <w:rsid w:val="501842B1"/>
    <w:rsid w:val="52323947"/>
    <w:rsid w:val="530F59B5"/>
    <w:rsid w:val="532F64D3"/>
    <w:rsid w:val="53EA3AEC"/>
    <w:rsid w:val="58A407A3"/>
    <w:rsid w:val="5B6339F0"/>
    <w:rsid w:val="5D5D14A0"/>
    <w:rsid w:val="6065020A"/>
    <w:rsid w:val="621E337A"/>
    <w:rsid w:val="62D81E64"/>
    <w:rsid w:val="6339784E"/>
    <w:rsid w:val="637864A7"/>
    <w:rsid w:val="63F06662"/>
    <w:rsid w:val="63F43BB3"/>
    <w:rsid w:val="661C4232"/>
    <w:rsid w:val="66B27F22"/>
    <w:rsid w:val="684E46EE"/>
    <w:rsid w:val="6FA347F1"/>
    <w:rsid w:val="70072A8E"/>
    <w:rsid w:val="70B825D8"/>
    <w:rsid w:val="72B66E2A"/>
    <w:rsid w:val="7423765F"/>
    <w:rsid w:val="75FC30F3"/>
    <w:rsid w:val="77073A16"/>
    <w:rsid w:val="78955381"/>
    <w:rsid w:val="79FC3536"/>
    <w:rsid w:val="7EE8179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Indent"/>
    <w:basedOn w:val="1"/>
    <w:link w:val="16"/>
    <w:qFormat/>
    <w:uiPriority w:val="0"/>
    <w:pPr>
      <w:ind w:firstLine="560" w:firstLineChars="200"/>
    </w:pPr>
    <w:rPr>
      <w:kern w:val="10"/>
      <w:sz w:val="28"/>
    </w:rPr>
  </w:style>
  <w:style w:type="paragraph" w:styleId="4">
    <w:name w:val="Balloon Text"/>
    <w:basedOn w:val="1"/>
    <w:link w:val="17"/>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jc w:val="left"/>
    </w:pPr>
    <w:rPr>
      <w:kern w:val="0"/>
      <w:sz w:val="24"/>
    </w:rPr>
  </w:style>
  <w:style w:type="paragraph" w:styleId="8">
    <w:name w:val="annotation subject"/>
    <w:basedOn w:val="2"/>
    <w:next w:val="2"/>
    <w:link w:val="19"/>
    <w:qFormat/>
    <w:uiPriority w:val="0"/>
    <w:rPr>
      <w:b/>
      <w:bCs/>
    </w:rPr>
  </w:style>
  <w:style w:type="table" w:styleId="10">
    <w:name w:val="Table Grid"/>
    <w:basedOn w:val="9"/>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rPr>
      <w:rFonts w:eastAsia="黑体"/>
      <w:kern w:val="2"/>
      <w:sz w:val="32"/>
      <w:szCs w:val="32"/>
      <w:lang w:val="en-US" w:eastAsia="zh-CN" w:bidi="ar-SA"/>
    </w:rPr>
  </w:style>
  <w:style w:type="character" w:styleId="13">
    <w:name w:val="Hyperlink"/>
    <w:qFormat/>
    <w:uiPriority w:val="0"/>
    <w:rPr>
      <w:rFonts w:eastAsia="黑体"/>
      <w:color w:val="0563C1"/>
      <w:kern w:val="2"/>
      <w:sz w:val="32"/>
      <w:szCs w:val="32"/>
      <w:u w:val="single"/>
      <w:lang w:val="en-US" w:eastAsia="zh-CN" w:bidi="ar-SA"/>
    </w:rPr>
  </w:style>
  <w:style w:type="character" w:styleId="14">
    <w:name w:val="annotation reference"/>
    <w:qFormat/>
    <w:uiPriority w:val="0"/>
    <w:rPr>
      <w:rFonts w:eastAsia="黑体"/>
      <w:kern w:val="2"/>
      <w:sz w:val="21"/>
      <w:szCs w:val="21"/>
      <w:lang w:val="en-US" w:eastAsia="zh-CN" w:bidi="ar-SA"/>
    </w:rPr>
  </w:style>
  <w:style w:type="character" w:customStyle="1" w:styleId="15">
    <w:name w:val="批注文字 字符"/>
    <w:link w:val="2"/>
    <w:qFormat/>
    <w:uiPriority w:val="0"/>
    <w:rPr>
      <w:rFonts w:eastAsia="黑体"/>
      <w:kern w:val="2"/>
      <w:sz w:val="21"/>
      <w:szCs w:val="24"/>
      <w:lang w:val="en-US" w:eastAsia="zh-CN" w:bidi="ar-SA"/>
    </w:rPr>
  </w:style>
  <w:style w:type="character" w:customStyle="1" w:styleId="16">
    <w:name w:val="正文文本缩进 字符"/>
    <w:link w:val="3"/>
    <w:qFormat/>
    <w:uiPriority w:val="0"/>
    <w:rPr>
      <w:kern w:val="10"/>
      <w:sz w:val="28"/>
      <w:szCs w:val="24"/>
    </w:rPr>
  </w:style>
  <w:style w:type="character" w:customStyle="1" w:styleId="17">
    <w:name w:val="批注框文本 字符"/>
    <w:link w:val="4"/>
    <w:qFormat/>
    <w:uiPriority w:val="0"/>
    <w:rPr>
      <w:rFonts w:eastAsia="黑体"/>
      <w:kern w:val="2"/>
      <w:sz w:val="18"/>
      <w:szCs w:val="18"/>
      <w:lang w:val="en-US" w:eastAsia="zh-CN" w:bidi="ar-SA"/>
    </w:rPr>
  </w:style>
  <w:style w:type="character" w:customStyle="1" w:styleId="18">
    <w:name w:val="页眉 字符"/>
    <w:link w:val="6"/>
    <w:qFormat/>
    <w:uiPriority w:val="0"/>
    <w:rPr>
      <w:rFonts w:eastAsia="黑体"/>
      <w:kern w:val="2"/>
      <w:sz w:val="18"/>
      <w:szCs w:val="18"/>
      <w:lang w:val="en-US" w:eastAsia="zh-CN" w:bidi="ar-SA"/>
    </w:rPr>
  </w:style>
  <w:style w:type="character" w:customStyle="1" w:styleId="19">
    <w:name w:val="批注主题 字符"/>
    <w:link w:val="8"/>
    <w:qFormat/>
    <w:uiPriority w:val="0"/>
    <w:rPr>
      <w:rFonts w:eastAsia="黑体"/>
      <w:b/>
      <w:bCs/>
      <w:kern w:val="2"/>
      <w:sz w:val="21"/>
      <w:szCs w:val="24"/>
      <w:lang w:val="en-US" w:eastAsia="zh-CN" w:bidi="ar-SA"/>
    </w:rPr>
  </w:style>
  <w:style w:type="character" w:customStyle="1" w:styleId="20">
    <w:name w:val="apple-converted-space"/>
    <w:qFormat/>
    <w:uiPriority w:val="0"/>
    <w:rPr>
      <w:lang w:val="en-US" w:eastAsia="zh-CN" w:bidi="ar-SA"/>
    </w:rPr>
  </w:style>
  <w:style w:type="paragraph" w:customStyle="1" w:styleId="21">
    <w:name w:val="Char Char1"/>
    <w:basedOn w:val="1"/>
    <w:next w:val="1"/>
    <w:qFormat/>
    <w:uiPriority w:val="0"/>
    <w:pPr>
      <w:pageBreakBefore/>
      <w:numPr>
        <w:ilvl w:val="0"/>
        <w:numId w:val="1"/>
      </w:numPr>
      <w:spacing w:line="400" w:lineRule="exact"/>
    </w:pPr>
    <w:rPr>
      <w:rFonts w:eastAsia="黑体"/>
      <w:sz w:val="32"/>
      <w:szCs w:val="32"/>
    </w:rPr>
  </w:style>
  <w:style w:type="paragraph" w:customStyle="1" w:styleId="22">
    <w:name w:val="1"/>
    <w:basedOn w:val="1"/>
    <w:next w:val="1"/>
    <w:qFormat/>
    <w:uiPriority w:val="0"/>
    <w:pPr>
      <w:pageBreakBefore/>
      <w:tabs>
        <w:tab w:val="left" w:pos="425"/>
      </w:tabs>
      <w:spacing w:line="400" w:lineRule="exact"/>
      <w:ind w:left="425" w:hanging="425"/>
    </w:pPr>
    <w:rPr>
      <w:rFonts w:eastAsia="黑体"/>
      <w:sz w:val="32"/>
      <w:szCs w:val="32"/>
    </w:rPr>
  </w:style>
  <w:style w:type="paragraph" w:customStyle="1" w:styleId="23">
    <w:name w:val="Char"/>
    <w:basedOn w:val="1"/>
    <w:next w:val="1"/>
    <w:qFormat/>
    <w:uiPriority w:val="0"/>
    <w:pPr>
      <w:pageBreakBefore/>
      <w:tabs>
        <w:tab w:val="left" w:pos="425"/>
      </w:tabs>
      <w:spacing w:line="400" w:lineRule="exact"/>
      <w:ind w:left="425" w:hanging="425"/>
    </w:pPr>
    <w:rPr>
      <w:rFonts w:eastAsia="黑体"/>
      <w:sz w:val="32"/>
      <w:szCs w:val="32"/>
    </w:rPr>
  </w:style>
  <w:style w:type="paragraph" w:customStyle="1" w:styleId="24">
    <w:name w:val="修订1"/>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home</Company>
  <Pages>5</Pages>
  <Words>3014</Words>
  <Characters>9018</Characters>
  <Lines>74</Lines>
  <Paragraphs>20</Paragraphs>
  <TotalTime>11</TotalTime>
  <ScaleCrop>false</ScaleCrop>
  <LinksUpToDate>false</LinksUpToDate>
  <CharactersWithSpaces>10167</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2024-05-14T01:38:00Z</dcterms:created>
  <dc:creator>liwei</dc:creator>
  <cp:lastModifiedBy>user</cp:lastModifiedBy>
  <cp:lastPrinted>2026-08-20T06:52:00Z</cp:lastPrinted>
  <dcterms:modified xsi:type="dcterms:W3CDTF">2026-09-09T02:59:03Z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2012071522FE4C0F99EF24206749E054</vt:lpwstr>
  </property>
  <property fmtid="{D5CDD505-2E9C-101B-9397-08002B2CF9AE}" pid="4" name="KSOTemplateDocerSaveRecord">
    <vt:lpwstr>eyJoZGlkIjoiMmNjNTdhNTRhNGE1MGVjMmQ5MmFlZDVmYmUwOWIwNGIiLCJ1c2VySWQiOiIyMzYzMjk2ODUifQ==</vt:lpwstr>
  </property>
  <property fmtid="{D5CDD505-2E9C-101B-9397-08002B2CF9AE}" pid="5" name="GrammarlyDocumentId">
    <vt:lpwstr>bbbdfa1d-5920-47ba-a75f-0c4841cffae6</vt:lpwstr>
  </property>
</Properties>
</file>